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98" w:rsidRPr="001E6E5C" w:rsidRDefault="00232998" w:rsidP="0023299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 xml:space="preserve"> </w:t>
      </w:r>
      <w:r w:rsidR="00360E02" w:rsidRPr="007D1C06">
        <w:rPr>
          <w:b/>
          <w:bCs/>
        </w:rPr>
        <w:t xml:space="preserve"> </w:t>
      </w:r>
      <w:r w:rsidRPr="001E6E5C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232998" w:rsidRPr="00264D65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4D65">
        <w:rPr>
          <w:rFonts w:ascii="Times New Roman" w:hAnsi="Times New Roman" w:cs="Times New Roman"/>
          <w:sz w:val="24"/>
          <w:szCs w:val="24"/>
        </w:rPr>
        <w:t xml:space="preserve">ГАОУ МО СПО   «Кандалакшский индустриальный колледж» работает в единстве и преемственной связи с образовательными и социальными учреждениями, учреждениями </w:t>
      </w:r>
      <w:r w:rsidRPr="00264D65">
        <w:rPr>
          <w:rFonts w:ascii="Times New Roman" w:eastAsia="Courier New" w:hAnsi="Times New Roman" w:cs="Times New Roman"/>
          <w:sz w:val="24"/>
          <w:szCs w:val="24"/>
        </w:rPr>
        <w:t>железнодорожной, электр</w:t>
      </w:r>
      <w:r w:rsidRPr="00264D65">
        <w:rPr>
          <w:rFonts w:ascii="Times New Roman" w:eastAsia="Courier New" w:hAnsi="Times New Roman" w:cs="Times New Roman"/>
          <w:sz w:val="24"/>
          <w:szCs w:val="24"/>
        </w:rPr>
        <w:t>о</w:t>
      </w:r>
      <w:r w:rsidRPr="00264D65">
        <w:rPr>
          <w:rFonts w:ascii="Times New Roman" w:eastAsia="Courier New" w:hAnsi="Times New Roman" w:cs="Times New Roman"/>
          <w:sz w:val="24"/>
          <w:szCs w:val="24"/>
        </w:rPr>
        <w:t>технической отрасли, сферы обслуживания и металлообработки</w:t>
      </w:r>
      <w:r w:rsidRPr="00264D65">
        <w:rPr>
          <w:rFonts w:ascii="Times New Roman" w:hAnsi="Times New Roman" w:cs="Times New Roman"/>
          <w:sz w:val="24"/>
          <w:szCs w:val="24"/>
        </w:rPr>
        <w:t xml:space="preserve"> Мурманской области. Реально связь между социальными партнёрами закрепляется договорами на основе Устава колледжа и данной Пр</w:t>
      </w:r>
      <w:r w:rsidRPr="00264D65">
        <w:rPr>
          <w:rFonts w:ascii="Times New Roman" w:hAnsi="Times New Roman" w:cs="Times New Roman"/>
          <w:sz w:val="24"/>
          <w:szCs w:val="24"/>
        </w:rPr>
        <w:t>о</w:t>
      </w:r>
      <w:r w:rsidRPr="00264D65">
        <w:rPr>
          <w:rFonts w:ascii="Times New Roman" w:hAnsi="Times New Roman" w:cs="Times New Roman"/>
          <w:sz w:val="24"/>
          <w:szCs w:val="24"/>
        </w:rPr>
        <w:t>граммы.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 xml:space="preserve"> Колледж выполняет несколько функций: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- образовательную;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- социально-просветительную;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- воспитательную;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- развивающую.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 xml:space="preserve">       В соответствии с функциями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61B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5161B8">
        <w:rPr>
          <w:rFonts w:ascii="Times New Roman" w:hAnsi="Times New Roman" w:cs="Times New Roman"/>
          <w:sz w:val="24"/>
          <w:szCs w:val="24"/>
        </w:rPr>
        <w:t xml:space="preserve"> СПО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Кандалакшский</w:t>
      </w:r>
      <w:r w:rsidRPr="005161B8">
        <w:rPr>
          <w:rFonts w:ascii="Times New Roman" w:hAnsi="Times New Roman" w:cs="Times New Roman"/>
          <w:sz w:val="24"/>
          <w:szCs w:val="24"/>
        </w:rPr>
        <w:t xml:space="preserve"> индустриальн</w:t>
      </w:r>
      <w:r>
        <w:rPr>
          <w:rFonts w:ascii="Times New Roman" w:hAnsi="Times New Roman" w:cs="Times New Roman"/>
          <w:sz w:val="24"/>
          <w:szCs w:val="24"/>
        </w:rPr>
        <w:t>ый колледж</w:t>
      </w:r>
      <w:r w:rsidRPr="005161B8">
        <w:rPr>
          <w:rFonts w:ascii="Times New Roman" w:hAnsi="Times New Roman" w:cs="Times New Roman"/>
          <w:sz w:val="24"/>
          <w:szCs w:val="24"/>
        </w:rPr>
        <w:t>»  решает задачи по формированию общих и профессиональных компетенций выпускников.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Исполнение функций колледжа обеспечивается решением следующих задач: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 xml:space="preserve">        - реализацией </w:t>
      </w:r>
      <w:proofErr w:type="spellStart"/>
      <w:r w:rsidRPr="005161B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161B8">
        <w:rPr>
          <w:rFonts w:ascii="Times New Roman" w:hAnsi="Times New Roman" w:cs="Times New Roman"/>
          <w:sz w:val="24"/>
          <w:szCs w:val="24"/>
        </w:rPr>
        <w:t xml:space="preserve"> подхода к подготовке специалистов  и квалифицированных рабочих, в том числе, с помощью  учебного плана, включающего блок учебных дисциплин, професси</w:t>
      </w:r>
      <w:r w:rsidRPr="005161B8">
        <w:rPr>
          <w:rFonts w:ascii="Times New Roman" w:hAnsi="Times New Roman" w:cs="Times New Roman"/>
          <w:sz w:val="24"/>
          <w:szCs w:val="24"/>
        </w:rPr>
        <w:t>о</w:t>
      </w:r>
      <w:r w:rsidRPr="005161B8">
        <w:rPr>
          <w:rFonts w:ascii="Times New Roman" w:hAnsi="Times New Roman" w:cs="Times New Roman"/>
          <w:sz w:val="24"/>
          <w:szCs w:val="24"/>
        </w:rPr>
        <w:t>нальных модулей, углубляющих подготовку специалистов и повышающих уровень образования;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- совершенствованием профессиональной практики;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- дальнейшим укреплением материально-технической базы;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- повышением требовательности к инженерно-преподавательским кадрам (повышение квалификации  и т.д.);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- созданием условий для личностного развития студентов и обучающихся;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>- развитием связей с социумом.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 xml:space="preserve">      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61B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5161B8">
        <w:rPr>
          <w:rFonts w:ascii="Times New Roman" w:hAnsi="Times New Roman" w:cs="Times New Roman"/>
          <w:sz w:val="24"/>
          <w:szCs w:val="24"/>
        </w:rPr>
        <w:t xml:space="preserve"> СПО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Кандалакшский</w:t>
      </w:r>
      <w:r w:rsidRPr="005161B8">
        <w:rPr>
          <w:rFonts w:ascii="Times New Roman" w:hAnsi="Times New Roman" w:cs="Times New Roman"/>
          <w:sz w:val="24"/>
          <w:szCs w:val="24"/>
        </w:rPr>
        <w:t xml:space="preserve"> индустриальн</w:t>
      </w:r>
      <w:r>
        <w:rPr>
          <w:rFonts w:ascii="Times New Roman" w:hAnsi="Times New Roman" w:cs="Times New Roman"/>
          <w:sz w:val="24"/>
          <w:szCs w:val="24"/>
        </w:rPr>
        <w:t>ый колледж</w:t>
      </w:r>
      <w:r w:rsidRPr="005161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B8">
        <w:rPr>
          <w:rFonts w:ascii="Times New Roman" w:hAnsi="Times New Roman" w:cs="Times New Roman"/>
          <w:sz w:val="24"/>
          <w:szCs w:val="24"/>
        </w:rPr>
        <w:t xml:space="preserve">работает в сотрудничестве с </w:t>
      </w:r>
      <w:r w:rsidRPr="0083510C">
        <w:rPr>
          <w:rFonts w:ascii="Times New Roman" w:hAnsi="Times New Roman" w:cs="Times New Roman"/>
          <w:sz w:val="24"/>
          <w:szCs w:val="24"/>
        </w:rPr>
        <w:t>ГБОУ ЦЗН г. Кандалакша, г. Полярные Зори</w:t>
      </w:r>
      <w:r>
        <w:rPr>
          <w:rFonts w:ascii="Times New Roman" w:hAnsi="Times New Roman" w:cs="Times New Roman"/>
          <w:sz w:val="24"/>
          <w:szCs w:val="24"/>
        </w:rPr>
        <w:t>, ежегодно колледж осуществляет подготовку безработных 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дан более 150 человек</w:t>
      </w:r>
      <w:r w:rsidRPr="005161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 xml:space="preserve">-  привлекает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Методического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 управления образования Администрации Канд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лакшского района</w:t>
      </w:r>
      <w:proofErr w:type="gramEnd"/>
      <w:r w:rsidRPr="005161B8">
        <w:rPr>
          <w:rFonts w:ascii="Times New Roman" w:hAnsi="Times New Roman" w:cs="Times New Roman"/>
          <w:sz w:val="24"/>
          <w:szCs w:val="24"/>
        </w:rPr>
        <w:t xml:space="preserve"> для оказания методической помощи педагогическому коллективу колледжа в реал</w:t>
      </w:r>
      <w:r w:rsidRPr="005161B8">
        <w:rPr>
          <w:rFonts w:ascii="Times New Roman" w:hAnsi="Times New Roman" w:cs="Times New Roman"/>
          <w:sz w:val="24"/>
          <w:szCs w:val="24"/>
        </w:rPr>
        <w:t>и</w:t>
      </w:r>
      <w:r w:rsidRPr="005161B8">
        <w:rPr>
          <w:rFonts w:ascii="Times New Roman" w:hAnsi="Times New Roman" w:cs="Times New Roman"/>
          <w:sz w:val="24"/>
          <w:szCs w:val="24"/>
        </w:rPr>
        <w:t xml:space="preserve">зации </w:t>
      </w:r>
      <w:proofErr w:type="spellStart"/>
      <w:r w:rsidRPr="005161B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161B8">
        <w:rPr>
          <w:rFonts w:ascii="Times New Roman" w:hAnsi="Times New Roman" w:cs="Times New Roman"/>
          <w:sz w:val="24"/>
          <w:szCs w:val="24"/>
        </w:rPr>
        <w:t xml:space="preserve"> подхода к подготовке специалистов, в проведении научно-практических с</w:t>
      </w:r>
      <w:r w:rsidRPr="005161B8">
        <w:rPr>
          <w:rFonts w:ascii="Times New Roman" w:hAnsi="Times New Roman" w:cs="Times New Roman"/>
          <w:sz w:val="24"/>
          <w:szCs w:val="24"/>
        </w:rPr>
        <w:t>е</w:t>
      </w:r>
      <w:r w:rsidRPr="005161B8">
        <w:rPr>
          <w:rFonts w:ascii="Times New Roman" w:hAnsi="Times New Roman" w:cs="Times New Roman"/>
          <w:sz w:val="24"/>
          <w:szCs w:val="24"/>
        </w:rPr>
        <w:t>минаров, конференций по актуальным  направлениям в педагогической науке и практике;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 xml:space="preserve">-  направляет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B8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>
        <w:rPr>
          <w:rFonts w:ascii="Times New Roman" w:hAnsi="Times New Roman" w:cs="Times New Roman"/>
          <w:sz w:val="24"/>
          <w:szCs w:val="24"/>
        </w:rPr>
        <w:t>, мастеров производственного обучения</w:t>
      </w:r>
      <w:r w:rsidRPr="005161B8">
        <w:rPr>
          <w:rFonts w:ascii="Times New Roman" w:hAnsi="Times New Roman" w:cs="Times New Roman"/>
          <w:sz w:val="24"/>
          <w:szCs w:val="24"/>
        </w:rPr>
        <w:t xml:space="preserve"> колледжа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161B8">
        <w:rPr>
          <w:rFonts w:ascii="Times New Roman" w:hAnsi="Times New Roman" w:cs="Times New Roman"/>
          <w:sz w:val="24"/>
          <w:szCs w:val="24"/>
        </w:rPr>
        <w:t xml:space="preserve"> стажировку на д</w:t>
      </w:r>
      <w:r w:rsidRPr="005161B8">
        <w:rPr>
          <w:rFonts w:ascii="Times New Roman" w:hAnsi="Times New Roman" w:cs="Times New Roman"/>
          <w:sz w:val="24"/>
          <w:szCs w:val="24"/>
        </w:rPr>
        <w:t>о</w:t>
      </w:r>
      <w:r w:rsidRPr="005161B8">
        <w:rPr>
          <w:rFonts w:ascii="Times New Roman" w:hAnsi="Times New Roman" w:cs="Times New Roman"/>
          <w:sz w:val="24"/>
          <w:szCs w:val="24"/>
        </w:rPr>
        <w:t>говорной основе;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 xml:space="preserve">-     направляет лучших выпускников колледжа на обучение в </w:t>
      </w: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путей сообщения</w:t>
      </w:r>
      <w:proofErr w:type="gramStart"/>
      <w:r w:rsidRPr="005161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 xml:space="preserve">       Колледж работает в сотрудничестве с </w:t>
      </w:r>
      <w:r>
        <w:rPr>
          <w:rFonts w:ascii="Times New Roman" w:hAnsi="Times New Roman" w:cs="Times New Roman"/>
          <w:sz w:val="24"/>
          <w:szCs w:val="24"/>
        </w:rPr>
        <w:t>Мурманским</w:t>
      </w:r>
      <w:r w:rsidRPr="005161B8">
        <w:rPr>
          <w:rFonts w:ascii="Times New Roman" w:hAnsi="Times New Roman" w:cs="Times New Roman"/>
          <w:sz w:val="24"/>
          <w:szCs w:val="24"/>
        </w:rPr>
        <w:t xml:space="preserve"> областным институтом повышения квалифик</w:t>
      </w:r>
      <w:r w:rsidRPr="005161B8">
        <w:rPr>
          <w:rFonts w:ascii="Times New Roman" w:hAnsi="Times New Roman" w:cs="Times New Roman"/>
          <w:sz w:val="24"/>
          <w:szCs w:val="24"/>
        </w:rPr>
        <w:t>а</w:t>
      </w:r>
      <w:r w:rsidRPr="005161B8">
        <w:rPr>
          <w:rFonts w:ascii="Times New Roman" w:hAnsi="Times New Roman" w:cs="Times New Roman"/>
          <w:sz w:val="24"/>
          <w:szCs w:val="24"/>
        </w:rPr>
        <w:t>ции работников образования (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61B8">
        <w:rPr>
          <w:rFonts w:ascii="Times New Roman" w:hAnsi="Times New Roman" w:cs="Times New Roman"/>
          <w:sz w:val="24"/>
          <w:szCs w:val="24"/>
        </w:rPr>
        <w:t>ОИПКРО) по повышению квалификации, переподготовке и аттестации инженерно-педагогических работников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61B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5161B8">
        <w:rPr>
          <w:rFonts w:ascii="Times New Roman" w:hAnsi="Times New Roman" w:cs="Times New Roman"/>
          <w:sz w:val="24"/>
          <w:szCs w:val="24"/>
        </w:rPr>
        <w:t xml:space="preserve"> СПО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Кандалакшский</w:t>
      </w:r>
      <w:r w:rsidRPr="005161B8">
        <w:rPr>
          <w:rFonts w:ascii="Times New Roman" w:hAnsi="Times New Roman" w:cs="Times New Roman"/>
          <w:sz w:val="24"/>
          <w:szCs w:val="24"/>
        </w:rPr>
        <w:t xml:space="preserve"> индустриальн</w:t>
      </w:r>
      <w:r>
        <w:rPr>
          <w:rFonts w:ascii="Times New Roman" w:hAnsi="Times New Roman" w:cs="Times New Roman"/>
          <w:sz w:val="24"/>
          <w:szCs w:val="24"/>
        </w:rPr>
        <w:t>ый колледж</w:t>
      </w:r>
      <w:r w:rsidRPr="005161B8">
        <w:rPr>
          <w:rFonts w:ascii="Times New Roman" w:hAnsi="Times New Roman" w:cs="Times New Roman"/>
          <w:sz w:val="24"/>
          <w:szCs w:val="24"/>
        </w:rPr>
        <w:t>».</w:t>
      </w:r>
    </w:p>
    <w:p w:rsidR="00232998" w:rsidRPr="005161B8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61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B8">
        <w:rPr>
          <w:rFonts w:ascii="Times New Roman" w:hAnsi="Times New Roman" w:cs="Times New Roman"/>
          <w:sz w:val="24"/>
          <w:szCs w:val="24"/>
        </w:rPr>
        <w:t xml:space="preserve">  Колледж активно связан с социумом. Социальными партнёрами являются как общественные орг</w:t>
      </w:r>
      <w:r w:rsidRPr="005161B8">
        <w:rPr>
          <w:rFonts w:ascii="Times New Roman" w:hAnsi="Times New Roman" w:cs="Times New Roman"/>
          <w:sz w:val="24"/>
          <w:szCs w:val="24"/>
        </w:rPr>
        <w:t>а</w:t>
      </w:r>
      <w:r w:rsidRPr="005161B8"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 xml:space="preserve"> (центр «Содействие»)</w:t>
      </w:r>
      <w:r w:rsidRPr="005161B8">
        <w:rPr>
          <w:rFonts w:ascii="Times New Roman" w:hAnsi="Times New Roman" w:cs="Times New Roman"/>
          <w:sz w:val="24"/>
          <w:szCs w:val="24"/>
        </w:rPr>
        <w:t>, так и государственные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(ДК «Металлург», КЦ «Нива», </w:t>
      </w:r>
      <w:r w:rsidRPr="006919A7">
        <w:rPr>
          <w:rFonts w:ascii="Times New Roman" w:hAnsi="Times New Roman" w:cs="Times New Roman"/>
          <w:sz w:val="24"/>
          <w:szCs w:val="24"/>
        </w:rPr>
        <w:t>ДЮЦ «Ровесник»</w:t>
      </w:r>
      <w:r>
        <w:rPr>
          <w:rFonts w:ascii="Times New Roman" w:hAnsi="Times New Roman" w:cs="Times New Roman"/>
          <w:sz w:val="24"/>
          <w:szCs w:val="24"/>
        </w:rPr>
        <w:t>, ГБОУ «Гармония»)</w:t>
      </w:r>
      <w:r w:rsidRPr="005161B8">
        <w:rPr>
          <w:rFonts w:ascii="Times New Roman" w:hAnsi="Times New Roman" w:cs="Times New Roman"/>
          <w:sz w:val="24"/>
          <w:szCs w:val="24"/>
        </w:rPr>
        <w:t>, а также потенциальные работодатели.</w:t>
      </w:r>
    </w:p>
    <w:p w:rsidR="00360E02" w:rsidRPr="007D1C06" w:rsidRDefault="00360E02" w:rsidP="00360E02">
      <w:pPr>
        <w:pStyle w:val="Default"/>
        <w:rPr>
          <w:color w:val="auto"/>
        </w:rPr>
      </w:pPr>
    </w:p>
    <w:p w:rsidR="00360E02" w:rsidRPr="004144DD" w:rsidRDefault="00360E02" w:rsidP="00360E02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4DD">
        <w:rPr>
          <w:rFonts w:ascii="Times New Roman" w:hAnsi="Times New Roman" w:cs="Times New Roman"/>
          <w:sz w:val="24"/>
          <w:szCs w:val="24"/>
        </w:rPr>
        <w:t>Социальные партнеры образовательного 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 которыми заключены долгосрочные договоры:</w:t>
      </w:r>
    </w:p>
    <w:tbl>
      <w:tblPr>
        <w:tblW w:w="10632" w:type="dxa"/>
        <w:tblInd w:w="-34" w:type="dxa"/>
        <w:tblLook w:val="0000"/>
      </w:tblPr>
      <w:tblGrid>
        <w:gridCol w:w="709"/>
        <w:gridCol w:w="4395"/>
        <w:gridCol w:w="3118"/>
        <w:gridCol w:w="2410"/>
      </w:tblGrid>
      <w:tr w:rsidR="00360E02" w:rsidRPr="004144DD" w:rsidTr="00DD4B0B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Дата, срок действия договора</w:t>
            </w:r>
          </w:p>
        </w:tc>
      </w:tr>
      <w:tr w:rsidR="00360E02" w:rsidRPr="004144DD" w:rsidTr="00DD4B0B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02" w:rsidRPr="004144DD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E02" w:rsidRPr="004144DD" w:rsidTr="00DD4B0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0E02" w:rsidRPr="004144DD" w:rsidTr="00DD4B0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ОАО «Апатит»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0E02" w:rsidRPr="004144DD" w:rsidTr="00DD4B0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ОАО «КОМЗ»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0E02" w:rsidRPr="004144DD" w:rsidTr="00DD4B0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 xml:space="preserve"> ОАО «СУАЛ-КАЗ»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0E02" w:rsidRPr="004144DD" w:rsidTr="00DD4B0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ГОБУ ЦЗН г. Кандалакша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0E02" w:rsidRPr="004144DD" w:rsidTr="00DD4B0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Стафф-Партне</w:t>
            </w:r>
            <w:proofErr w:type="gramStart"/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ОП»Столовая КАЗ»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0E02" w:rsidRPr="004144DD" w:rsidTr="00DD4B0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ООО «Фабрика вкуса»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0E02" w:rsidRPr="004144DD" w:rsidTr="00DD4B0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 xml:space="preserve">ОАО «Кандалакшская </w:t>
            </w:r>
            <w:proofErr w:type="spellStart"/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0E02" w:rsidRPr="004144DD" w:rsidTr="00DD4B0B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НОУ ВПО «Санкт-Петербургский гуманитарный университет профсоюзов»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E02" w:rsidRPr="004144DD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4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360E02" w:rsidRPr="006F71E5" w:rsidRDefault="00360E02" w:rsidP="00360E02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Места учебных и производственных практик студентов колледжа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>на которые заключаются договоры на период практики</w:t>
      </w:r>
      <w:r w:rsidRPr="006F71E5">
        <w:rPr>
          <w:rFonts w:ascii="Times New Roman" w:hAnsi="Times New Roman"/>
          <w:b/>
          <w:sz w:val="24"/>
          <w:szCs w:val="24"/>
        </w:rPr>
        <w:t>:</w:t>
      </w:r>
      <w:r w:rsidRPr="006F71E5">
        <w:rPr>
          <w:rFonts w:ascii="Times New Roman" w:hAnsi="Times New Roman"/>
          <w:b/>
          <w:sz w:val="24"/>
          <w:szCs w:val="24"/>
        </w:rPr>
        <w:tab/>
      </w:r>
    </w:p>
    <w:p w:rsidR="00360E02" w:rsidRDefault="00360E02" w:rsidP="00360E02">
      <w:pPr>
        <w:pStyle w:val="a7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132"/>
        <w:gridCol w:w="7938"/>
        <w:gridCol w:w="1418"/>
      </w:tblGrid>
      <w:tr w:rsidR="00360E02" w:rsidRPr="00EB6486" w:rsidTr="00DD4B0B">
        <w:tc>
          <w:tcPr>
            <w:tcW w:w="1110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работодателей (места практики)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 </w:t>
            </w:r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>«Машинист локомотива»</w:t>
            </w: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161/1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Учебные мастерские ГАОУ МО СПО «КИК»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161/2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Учебные мастерские ГАОУ МО СПО «КИК»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№261/1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ОАО РЖД эксплуатационное локомотивное депо ст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андалакша; ОАО «Апатит»;  ОАО 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Олкон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»;   Вагонное ремонтное  депо ст. Мурманск ст.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. ОАО «ВРК-2»;                        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№261/2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ОАО РЖД эксплуатационное локомотивное депо ст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андалакша; ОАО «Апатит»;   Вагонное ремонтное  депо ст. Мурманск ст.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 ОАО «ВРК-2»;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машиниста локомотива»</w:t>
            </w: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№361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ОАО РЖД эксплуатационное локомотивное депо ст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андалакша;  ОАО «Апатит»; ОАО 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Олкон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»;                           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№161-ТУ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ОАО РЖД эксплуатационное локомотивное депо ст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андалакша; ОАО 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Олкон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»;                         ОАО «Апатит»;   Вагонное ремонтное  депо ст. Мурманск ст.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 ОАО «ВРК-2»;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№261-ТУ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ОАО РЖД Вагонное ремонтное  депо ст. Мурманск ст.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 ОАО «ВРК-2»;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>«Слесарь по обслуживанию и ремонту подвижного состава»</w:t>
            </w: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№162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Учебные мастерские ГАОУ МО СПО «КИК»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№262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ОАО РЖД Вагонное ремонтное локомотивное депо ст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андалакша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ст.подр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. ОАО «ВРК-1»; 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110" w:type="dxa"/>
            <w:vAlign w:val="center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№362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ОАО РЖД Вагонное ремонтное локомотивное депо ст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андалакша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ст.подр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. ОАО «ВРК-1»; Вагонное ремонтное  депо ст. Мурманск ст.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. ОАО «ВРК-2»;  ОАО «Апатит»;   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 Станочник (металлообработка)»</w:t>
            </w:r>
          </w:p>
        </w:tc>
      </w:tr>
      <w:tr w:rsidR="00360E02" w:rsidRPr="00EB6486" w:rsidTr="00DD4B0B">
        <w:tc>
          <w:tcPr>
            <w:tcW w:w="1110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№352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ОАО РЖД Вагонное ремонтное локомотивное депо ст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андалакша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ст.подр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 ОАО «ВРК-1»; ОАО РЖД эксплуатационное локомотивное депо ст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андалакша; ОАО  ДСУ№3;ОАО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ДРСУ;морской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плот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кандалакша;ОАО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Чалмозеро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»; Североморское АТП;УЖКХ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с.Лувеньга;Техпром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п.Умба; в/ч п.Алакуртти.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Профессия  « Делопроизводитель »</w:t>
            </w:r>
          </w:p>
        </w:tc>
      </w:tr>
      <w:tr w:rsidR="00360E02" w:rsidRPr="00EB6486" w:rsidTr="00DD4B0B">
        <w:tc>
          <w:tcPr>
            <w:tcW w:w="1110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№211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МБУ ЦССРМ «Гармония»  (  «Центр содействия социальному развитию молодежи «Гармония»,  Управления ФССП России по Мурманской области ( «Федеральной службы судебных приставов»,  ) ФГБУ «Мурманское бассейновое управление по рыболовству и сохранению водных биологических ресурсов» (ФГБУ 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Мурманрыбвод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») ,   ГОАУСОН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Ковдорский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населения», _ ФГБУ «Кандалакшский государственный заповедник»,   МБОУ СОШ №38 г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урманск , ГАОУ МО СПО «КИК»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 « Электромонтер – </w:t>
            </w:r>
            <w:proofErr w:type="spellStart"/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>линейщик</w:t>
            </w:r>
            <w:proofErr w:type="spellEnd"/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монтажу </w:t>
            </w:r>
            <w:proofErr w:type="gramStart"/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высокого напряжения и контактной сети»</w:t>
            </w:r>
          </w:p>
        </w:tc>
      </w:tr>
      <w:tr w:rsidR="00360E02" w:rsidRPr="00EB6486" w:rsidTr="00DD4B0B">
        <w:trPr>
          <w:trHeight w:val="1380"/>
        </w:trPr>
        <w:tc>
          <w:tcPr>
            <w:tcW w:w="1110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№341</w:t>
            </w:r>
          </w:p>
        </w:tc>
        <w:tc>
          <w:tcPr>
            <w:tcW w:w="8070" w:type="dxa"/>
            <w:gridSpan w:val="2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Юзин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андалакша;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ИП.Евтушенко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г.Кандалакша; ОП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Каскад-Трейд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электроснабже-ния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емь; ООО «Аспект» г.Кандалакша; ОАО «Кандалакшская электросеть»; ООО «Фан-Тюльпан»г.Мурманск; ФГБУ»Кандалакшский государственный заповедник; МБУ «Дом культуры» п.Африканда; Аварийно- спасательный отряд г.Кандалакша; ООО «МИК» г.Полярные зори; МДОУ Дет.сад №63г.Кандалакша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EB6486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«Повар, кондитер», «Пекарь»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 w:val="restart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171, 172, 271, 272, 372</w:t>
            </w: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Филиал ОАО «СУАЛ» «КАЗ-СУАЛ»</w:t>
            </w: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Стафф-партнер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рабочая столовая Филиал ОАО «СУАЛ» «КАЗ-СУАЛ»</w:t>
            </w: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Профилакторий «Металлург»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ООО «Беломорская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жемчужина+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«Погребок»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«Элегия»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Кандалакшторг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«Фабрика вкуса» ООО «Малахит плюс» ООО «Ани»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Котер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«Виктория Плюс»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Лейпи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«Горница» ОП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Каскад-Трейд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ЗАО «Каскад» ТДК Каскад Парка ООО «Дворик» ООО «Золотое руно» ОАО «ЖТК» столовая № 5</w:t>
            </w:r>
            <w:proofErr w:type="gramEnd"/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деревня - </w:t>
            </w:r>
            <w:r w:rsidRPr="00EB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SOS </w:t>
            </w: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Кандалакша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ГОБОУ «Кандалакшский детский дом «Берег» ГОБОУ Зеленоборский детский дом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Княженка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ГОАУ СОН «Кандалакшский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ДПиИ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ИП Тарасова Г.Г. ИП Дроздова Н.Л.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МБОУ СОШ №2 МАОУ СОШ №10 МОУ СОШ № 19 МБОУ СОШ №20 МБДОУ № 4 МБДОУ ЦРР № 5 МДОУ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/с № 9 МБДОУ № 12 МБОУ СОШ № 13 МБДОУ № 14 МБДОУ № 15 МБДОУ № 16 МБДОУ № 24 МБДОУ № 32 МБДОУ № 35 МБДОУ № 36 МБДОУ № 62 МБДОУ № 63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EB6486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«Слесарь по ремонту автомобиля»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 w:val="restart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Автодиа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Трансмастер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Газавтосервис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ОАО «ДСУ-3»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ИП Ширяев А.Н. ИП 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EB6486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«Сварщик (электросварочные и газосварочные работы)»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 w:val="restart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251, 351</w:t>
            </w: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Ф-ал</w:t>
            </w:r>
            <w:proofErr w:type="spellEnd"/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ОАО «СУАЛ» «КАЗ-СУАЛ» ОАО ДСУ-3 ОАО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Дистанция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ПЧ-40 ОАО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Локомотивное депо (ТЧ-27) ОАО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Ковдорский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ГОК» ОАО «ВРК-1»</w:t>
            </w: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Вагонное депо (ВЧД-21)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Княжегубская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 (ПЧ-22)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Стройснаб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«КМТП» ООО «УК «Гарант»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Стингер-Трейд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Газавтосервис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«Автосервис»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Аргонсервис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ТСЖ «Новый квартал»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п. Алакуртти</w:t>
            </w: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31487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ТСЖ «Новый квартал»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МУЗ Администрации 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 Кандалакши КЦРБ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ГОУП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Кандалакшаводоканал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Автоколонна № 1443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РЭУ «Мурманский»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Комуркин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С.А. 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Кочкурие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С.А. 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Почестнев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B90FD2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D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«Мастер отделочных строительных работ»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 w:val="restart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Стингер-Трейд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Стройснаб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ТСЖ «Новый квартал»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B90FD2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D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«Продавец, контролер-кассир»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 w:val="restart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ЗАО «Каскад» ТДК Каскад Парка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ООО «Нева»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Телемакс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«Авоська» ООО «Прогресс»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«Пасма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ООО «Топаз»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п. Зеленоборский </w:t>
            </w: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Рыбкоп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магазин №3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ИП Баринова Л.В. 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Емельянцева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Ю.Н. 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Коварнина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Т.С. ИП Красавин В.В. ИП Романова И.О. ИП Черноусов А.В. ИП Калинина С.Н. 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Ю.А. ИП Кирилов С.Г. 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Сатьянова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И.А. ИП Никонова Н.Е. ИП Жуков И.В. ИП Азимов К.В.</w:t>
            </w:r>
            <w:proofErr w:type="gramEnd"/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0E02" w:rsidRPr="00EB6486" w:rsidTr="00DD4B0B">
        <w:tc>
          <w:tcPr>
            <w:tcW w:w="10598" w:type="dxa"/>
            <w:gridSpan w:val="4"/>
          </w:tcPr>
          <w:p w:rsidR="00360E02" w:rsidRPr="00B90FD2" w:rsidRDefault="00360E02" w:rsidP="00DD4B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D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«Электромонтер по ремонту и обслуживанию электрооборудования»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 w:val="restart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242, 342</w:t>
            </w: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ООО «Тепловой энергетический комплекс» ОП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Каскад-Трейд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ООО «ВИС» ООО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ТО» ООО «Штиль» ООО «Авоська»</w:t>
            </w:r>
            <w:proofErr w:type="gramEnd"/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ЗАО «Беломорская нефтебаза» ЗАО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Прек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пансионат «Акварель»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ОАО «ВРК-1»Вагонное ремонтное депо </w:t>
            </w:r>
            <w:proofErr w:type="gram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. Кандалакша КАЭС ОАО Концерн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Росэнергоатом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ОАО «Территориальная генерирующая компания» филиал «Кольский» ОАО «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Севзапэлектромонтаж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» Кольское дочернее общество «СЗЭМ» участок № 5 ОАО «Кандалакшская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 ОАО «КГК-1 Филиал Кольский»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Норнике</w:t>
            </w: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ГОБУЗ «Кандалакшская ЦРБ»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СХПК «Полярная звезда»</w:t>
            </w:r>
          </w:p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02" w:rsidRPr="00EB6486" w:rsidTr="00DD4B0B">
        <w:tc>
          <w:tcPr>
            <w:tcW w:w="1242" w:type="dxa"/>
            <w:gridSpan w:val="2"/>
            <w:vMerge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Письмак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ИП Красильникова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Пауленкович</w:t>
            </w:r>
            <w:proofErr w:type="spellEnd"/>
            <w:r w:rsidRPr="00EB648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360E02" w:rsidRPr="00EB6486" w:rsidRDefault="00360E02" w:rsidP="00DD4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0E02" w:rsidRPr="004144DD" w:rsidRDefault="00360E02" w:rsidP="00360E02">
      <w:pPr>
        <w:pStyle w:val="a7"/>
        <w:rPr>
          <w:rFonts w:ascii="Times New Roman" w:hAnsi="Times New Roman" w:cs="Times New Roman"/>
          <w:bCs/>
          <w:sz w:val="24"/>
          <w:szCs w:val="24"/>
        </w:rPr>
        <w:sectPr w:rsidR="00360E02" w:rsidRPr="004144DD" w:rsidSect="00B90F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60E02" w:rsidRPr="007D1C06" w:rsidRDefault="00360E02" w:rsidP="00360E02">
      <w:pPr>
        <w:pStyle w:val="Default"/>
        <w:rPr>
          <w:color w:val="auto"/>
        </w:rPr>
      </w:pPr>
      <w:r w:rsidRPr="007D1C06">
        <w:rPr>
          <w:b/>
          <w:bCs/>
          <w:color w:val="auto"/>
        </w:rPr>
        <w:lastRenderedPageBreak/>
        <w:t xml:space="preserve">Трудоустройство выпускников. </w:t>
      </w:r>
    </w:p>
    <w:p w:rsidR="00360E02" w:rsidRPr="007D1C06" w:rsidRDefault="00360E02" w:rsidP="00360E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0E02" w:rsidRPr="007D1C06" w:rsidRDefault="00360E02" w:rsidP="00360E02">
      <w:pPr>
        <w:pStyle w:val="Default"/>
        <w:jc w:val="both"/>
        <w:rPr>
          <w:color w:val="auto"/>
        </w:rPr>
      </w:pPr>
      <w:r w:rsidRPr="007D1C06">
        <w:rPr>
          <w:color w:val="auto"/>
        </w:rPr>
        <w:t xml:space="preserve">      Стабильно увеличивается процент трудоустроенных выпускников колледжа. Такую положительную динамику обеспечивает системная деятельность по выстраиванию взаимодействия с работодателями, организация работы Центра содействия  трудоустройству выпускников колледжа, мониторинг удовлетворенности работодателей, студентов и их родителей, своевременная корректировка структуры профессиональной подготовки колледжа с учетом изменений запросов рынка труда.</w:t>
      </w:r>
    </w:p>
    <w:p w:rsidR="00360E02" w:rsidRPr="007D1C06" w:rsidRDefault="00360E02" w:rsidP="00360E02">
      <w:pPr>
        <w:pStyle w:val="Default"/>
        <w:jc w:val="both"/>
        <w:rPr>
          <w:rFonts w:eastAsia="Times New Roman"/>
          <w:color w:val="auto"/>
          <w:lang w:eastAsia="ru-RU"/>
        </w:rPr>
      </w:pPr>
      <w:r w:rsidRPr="007D1C06">
        <w:rPr>
          <w:i/>
          <w:iCs/>
          <w:color w:val="auto"/>
        </w:rPr>
        <w:t xml:space="preserve">       </w:t>
      </w:r>
      <w:r w:rsidRPr="007D1C06">
        <w:rPr>
          <w:color w:val="auto"/>
        </w:rPr>
        <w:t xml:space="preserve">Динамика результатов трудоустройства выпускников: </w:t>
      </w:r>
      <w:r w:rsidRPr="007D1C06">
        <w:rPr>
          <w:rFonts w:eastAsia="Times New Roman"/>
          <w:color w:val="auto"/>
          <w:lang w:eastAsia="ru-RU"/>
        </w:rPr>
        <w:t xml:space="preserve">в среднем по профилям подготовки процент трудоустройства </w:t>
      </w:r>
      <w:r>
        <w:rPr>
          <w:rFonts w:eastAsia="Times New Roman"/>
          <w:color w:val="auto"/>
          <w:lang w:eastAsia="ru-RU"/>
        </w:rPr>
        <w:t xml:space="preserve"> </w:t>
      </w:r>
      <w:r w:rsidRPr="007D1C06">
        <w:rPr>
          <w:rFonts w:eastAsia="Times New Roman"/>
          <w:color w:val="auto"/>
          <w:lang w:eastAsia="ru-RU"/>
        </w:rPr>
        <w:t xml:space="preserve"> состав</w:t>
      </w:r>
      <w:r>
        <w:rPr>
          <w:rFonts w:eastAsia="Times New Roman"/>
          <w:color w:val="auto"/>
          <w:lang w:eastAsia="ru-RU"/>
        </w:rPr>
        <w:t>ляет 82 % (с учетом службы в РА</w:t>
      </w:r>
      <w:r w:rsidRPr="007D1C06">
        <w:rPr>
          <w:rFonts w:eastAsia="Times New Roman"/>
          <w:color w:val="auto"/>
          <w:lang w:eastAsia="ru-RU"/>
        </w:rPr>
        <w:t xml:space="preserve">). По профессиям профессиональной подготовки </w:t>
      </w:r>
      <w:r>
        <w:rPr>
          <w:rFonts w:eastAsia="Times New Roman"/>
          <w:color w:val="auto"/>
          <w:lang w:eastAsia="ru-RU"/>
        </w:rPr>
        <w:t xml:space="preserve"> </w:t>
      </w:r>
      <w:r w:rsidRPr="007D1C06">
        <w:rPr>
          <w:rFonts w:eastAsia="Times New Roman"/>
          <w:color w:val="auto"/>
          <w:lang w:eastAsia="ru-RU"/>
        </w:rPr>
        <w:t xml:space="preserve"> процент трудоустройства составляет практически 100%, так как обучение ведется по заявкам работодателей и без отрыва от производства. Данные о трудоустройстве на 1.06.2013 г.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042"/>
        <w:gridCol w:w="1683"/>
        <w:gridCol w:w="1073"/>
        <w:gridCol w:w="1079"/>
        <w:gridCol w:w="1355"/>
        <w:gridCol w:w="1296"/>
        <w:gridCol w:w="1599"/>
      </w:tblGrid>
      <w:tr w:rsidR="00360E02" w:rsidRPr="00136289" w:rsidTr="00DD4B0B">
        <w:trPr>
          <w:tblCellSpacing w:w="15" w:type="dxa"/>
          <w:jc w:val="center"/>
        </w:trPr>
        <w:tc>
          <w:tcPr>
            <w:tcW w:w="861" w:type="dxa"/>
            <w:vAlign w:val="center"/>
            <w:hideMark/>
          </w:tcPr>
          <w:p w:rsidR="00360E02" w:rsidRPr="007D1C06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2" w:type="dxa"/>
            <w:vAlign w:val="center"/>
            <w:hideMark/>
          </w:tcPr>
          <w:p w:rsidR="00360E02" w:rsidRPr="007D1C06" w:rsidRDefault="00360E02" w:rsidP="00DD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53" w:type="dxa"/>
            <w:vAlign w:val="center"/>
            <w:hideMark/>
          </w:tcPr>
          <w:p w:rsidR="00360E02" w:rsidRPr="007D1C06" w:rsidRDefault="00360E02" w:rsidP="00DD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, кол./%</w:t>
            </w:r>
          </w:p>
        </w:tc>
        <w:tc>
          <w:tcPr>
            <w:tcW w:w="1043" w:type="dxa"/>
            <w:vAlign w:val="center"/>
            <w:hideMark/>
          </w:tcPr>
          <w:p w:rsidR="00360E02" w:rsidRPr="007D1C06" w:rsidRDefault="00360E02" w:rsidP="00DD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Призваны в ряды РА, кол./%</w:t>
            </w:r>
            <w:proofErr w:type="gramEnd"/>
          </w:p>
        </w:tc>
        <w:tc>
          <w:tcPr>
            <w:tcW w:w="1049" w:type="dxa"/>
            <w:vAlign w:val="center"/>
            <w:hideMark/>
          </w:tcPr>
          <w:p w:rsidR="00360E02" w:rsidRPr="007D1C06" w:rsidRDefault="00360E02" w:rsidP="00DD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по уходу за ребенком, кол./%</w:t>
            </w:r>
          </w:p>
        </w:tc>
        <w:tc>
          <w:tcPr>
            <w:tcW w:w="1325" w:type="dxa"/>
            <w:vAlign w:val="center"/>
            <w:hideMark/>
          </w:tcPr>
          <w:p w:rsidR="00360E02" w:rsidRPr="007D1C06" w:rsidRDefault="00360E02" w:rsidP="00DD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Продолжили обучение, кол./%</w:t>
            </w:r>
          </w:p>
        </w:tc>
        <w:tc>
          <w:tcPr>
            <w:tcW w:w="1266" w:type="dxa"/>
            <w:vAlign w:val="center"/>
            <w:hideMark/>
          </w:tcPr>
          <w:p w:rsidR="00360E02" w:rsidRPr="007D1C06" w:rsidRDefault="00360E02" w:rsidP="00DD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Выехали за пределы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, кол./%</w:t>
            </w:r>
          </w:p>
        </w:tc>
        <w:tc>
          <w:tcPr>
            <w:tcW w:w="1554" w:type="dxa"/>
            <w:vAlign w:val="center"/>
            <w:hideMark/>
          </w:tcPr>
          <w:p w:rsidR="00360E02" w:rsidRPr="007D1C06" w:rsidRDefault="00360E02" w:rsidP="00DD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7D1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(кол./%)</w:t>
            </w:r>
          </w:p>
        </w:tc>
      </w:tr>
      <w:tr w:rsidR="00360E02" w:rsidRPr="006B3845" w:rsidTr="00DD4B0B">
        <w:trPr>
          <w:tblCellSpacing w:w="15" w:type="dxa"/>
          <w:jc w:val="center"/>
        </w:trPr>
        <w:tc>
          <w:tcPr>
            <w:tcW w:w="861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12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53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158/89,3</w:t>
            </w:r>
          </w:p>
        </w:tc>
        <w:tc>
          <w:tcPr>
            <w:tcW w:w="1043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049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4/2,4</w:t>
            </w:r>
          </w:p>
        </w:tc>
        <w:tc>
          <w:tcPr>
            <w:tcW w:w="1325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6/3,6</w:t>
            </w:r>
          </w:p>
        </w:tc>
        <w:tc>
          <w:tcPr>
            <w:tcW w:w="1266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6/3,6</w:t>
            </w:r>
          </w:p>
        </w:tc>
        <w:tc>
          <w:tcPr>
            <w:tcW w:w="1554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E02" w:rsidRPr="006B3845" w:rsidTr="00DD4B0B">
        <w:trPr>
          <w:tblCellSpacing w:w="15" w:type="dxa"/>
          <w:jc w:val="center"/>
        </w:trPr>
        <w:tc>
          <w:tcPr>
            <w:tcW w:w="861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12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53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132/67,7</w:t>
            </w:r>
          </w:p>
        </w:tc>
        <w:tc>
          <w:tcPr>
            <w:tcW w:w="1043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36/18,5</w:t>
            </w:r>
          </w:p>
        </w:tc>
        <w:tc>
          <w:tcPr>
            <w:tcW w:w="1049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11/5,6</w:t>
            </w:r>
          </w:p>
        </w:tc>
        <w:tc>
          <w:tcPr>
            <w:tcW w:w="1325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16/8,2</w:t>
            </w:r>
          </w:p>
        </w:tc>
        <w:tc>
          <w:tcPr>
            <w:tcW w:w="1266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E02" w:rsidRPr="006B3845" w:rsidTr="00DD4B0B">
        <w:trPr>
          <w:tblCellSpacing w:w="15" w:type="dxa"/>
          <w:jc w:val="center"/>
        </w:trPr>
        <w:tc>
          <w:tcPr>
            <w:tcW w:w="861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12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53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54/24</w:t>
            </w:r>
          </w:p>
        </w:tc>
        <w:tc>
          <w:tcPr>
            <w:tcW w:w="1043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105/47</w:t>
            </w:r>
          </w:p>
        </w:tc>
        <w:tc>
          <w:tcPr>
            <w:tcW w:w="1049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325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44/20</w:t>
            </w:r>
          </w:p>
        </w:tc>
        <w:tc>
          <w:tcPr>
            <w:tcW w:w="1266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554" w:type="dxa"/>
            <w:vAlign w:val="center"/>
            <w:hideMark/>
          </w:tcPr>
          <w:p w:rsidR="00360E02" w:rsidRPr="000B7F8A" w:rsidRDefault="00360E02" w:rsidP="00DD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A">
              <w:rPr>
                <w:rFonts w:ascii="Times New Roman" w:eastAsia="Times New Roman" w:hAnsi="Times New Roman" w:cs="Times New Roman"/>
                <w:sz w:val="24"/>
                <w:szCs w:val="24"/>
              </w:rPr>
              <w:t>7/3</w:t>
            </w:r>
          </w:p>
        </w:tc>
      </w:tr>
    </w:tbl>
    <w:p w:rsidR="00360E02" w:rsidRPr="006B3845" w:rsidRDefault="00360E02" w:rsidP="0036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9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трудоустройства по профессиям и специальностям показывает, что сегодня на рынке труда востребованы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 и специальности, по 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подготовка в колледже,</w:t>
      </w:r>
      <w:r w:rsidRPr="0069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проявляется выраженная устойчивость к полученной профессии. Это связано, прежде всего,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потребностью рынка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Кандалакшского </w:t>
      </w:r>
      <w:r w:rsidRPr="0069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предложениями работодателей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престижность. Профессий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жедезнодорожного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транспорта</w:t>
      </w:r>
      <w:r w:rsidRPr="0069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B3845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ольшинство выпускников работают по полученной специальности или профессии.</w:t>
      </w:r>
    </w:p>
    <w:p w:rsidR="00360E02" w:rsidRPr="006B3845" w:rsidRDefault="00360E02" w:rsidP="00360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45">
        <w:rPr>
          <w:rFonts w:ascii="Times New Roman" w:hAnsi="Times New Roman" w:cs="Times New Roman"/>
          <w:sz w:val="24"/>
          <w:szCs w:val="24"/>
        </w:rPr>
        <w:t xml:space="preserve">         Партнерами колледжа являются более 120  предприятий и организаций не только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6B3845">
        <w:rPr>
          <w:rFonts w:ascii="Times New Roman" w:hAnsi="Times New Roman" w:cs="Times New Roman"/>
          <w:sz w:val="24"/>
          <w:szCs w:val="24"/>
        </w:rPr>
        <w:t xml:space="preserve">, но </w:t>
      </w:r>
      <w:r w:rsidRPr="00B802A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Карельской  республики</w:t>
      </w:r>
      <w:r w:rsidRPr="00B802A8">
        <w:rPr>
          <w:rFonts w:ascii="Times New Roman" w:hAnsi="Times New Roman" w:cs="Times New Roman"/>
          <w:sz w:val="24"/>
          <w:szCs w:val="24"/>
        </w:rPr>
        <w:t>.</w:t>
      </w:r>
    </w:p>
    <w:p w:rsidR="00360E02" w:rsidRDefault="00360E02" w:rsidP="00360E02">
      <w:pPr>
        <w:pStyle w:val="Default"/>
        <w:jc w:val="both"/>
      </w:pPr>
      <w:r w:rsidRPr="006B3845">
        <w:t xml:space="preserve">       В колледже существует гибкая система трудоустройства выпускников, учитывающая специфику специальности и индивид</w:t>
      </w:r>
      <w:r>
        <w:t>уальные особенности выпускника.</w:t>
      </w:r>
      <w:r w:rsidRPr="00302886">
        <w:t xml:space="preserve"> </w:t>
      </w:r>
    </w:p>
    <w:p w:rsidR="00360E02" w:rsidRDefault="00360E02" w:rsidP="00360E02">
      <w:pPr>
        <w:pStyle w:val="Default"/>
        <w:jc w:val="both"/>
      </w:pPr>
      <w:r>
        <w:t xml:space="preserve">     Таким образом, ГАОУ МО СПО «КИК»</w:t>
      </w:r>
      <w:r w:rsidRPr="00302886">
        <w:t xml:space="preserve"> развивается динамично, используя все возможности для адаптации и трудоустройства выпускников, обеспечения их конкурентоспособность на рынке труда. </w:t>
      </w:r>
      <w:r>
        <w:t xml:space="preserve">     </w:t>
      </w:r>
      <w:proofErr w:type="spellStart"/>
      <w:r w:rsidRPr="00302886">
        <w:t>Востребованность</w:t>
      </w:r>
      <w:proofErr w:type="spellEnd"/>
      <w:r w:rsidRPr="00302886">
        <w:t xml:space="preserve"> выпускников колледжа на рынке труда подтверждается неуклонным снижением числа обращений вы</w:t>
      </w:r>
      <w:r>
        <w:t xml:space="preserve">пускников колледжа в Кандалакшский </w:t>
      </w:r>
      <w:r w:rsidRPr="00302886">
        <w:t xml:space="preserve"> городской центр занятости населения по вопросу трудоустройства. </w:t>
      </w:r>
    </w:p>
    <w:p w:rsidR="00360E02" w:rsidRDefault="00360E02" w:rsidP="00360E02">
      <w:pPr>
        <w:pStyle w:val="Default"/>
        <w:jc w:val="both"/>
      </w:pPr>
      <w:r>
        <w:t xml:space="preserve">        </w:t>
      </w:r>
      <w:r w:rsidRPr="00302886">
        <w:t>В колледже создан и ежегодно пополняется банк данных по предприятиям и организациям, в которых проходят практику студенты и имеются вакансии на трудоустройство выпускников.</w:t>
      </w:r>
    </w:p>
    <w:p w:rsidR="00360E02" w:rsidRDefault="00360E02" w:rsidP="00360E02">
      <w:pPr>
        <w:pStyle w:val="Default"/>
        <w:jc w:val="both"/>
      </w:pPr>
      <w:r>
        <w:t xml:space="preserve">      </w:t>
      </w:r>
      <w:r w:rsidRPr="00302886">
        <w:t xml:space="preserve"> Мероприятия по тр</w:t>
      </w:r>
      <w:r>
        <w:t xml:space="preserve">удоустройству выпускников в 2012-2013 учебном </w:t>
      </w:r>
      <w:r w:rsidRPr="00302886">
        <w:t xml:space="preserve"> году: В рамках содействия трудоустройству выпускников проводятся встречи студентов с работодателями. В соответствии с планом работы </w:t>
      </w:r>
      <w:r w:rsidRPr="00B802A8">
        <w:t xml:space="preserve">проведены </w:t>
      </w:r>
      <w:r>
        <w:t>3</w:t>
      </w:r>
      <w:r w:rsidRPr="00B802A8">
        <w:t xml:space="preserve"> встреч с</w:t>
      </w:r>
      <w:r>
        <w:t>и</w:t>
      </w:r>
      <w:r w:rsidRPr="00B802A8">
        <w:t xml:space="preserve"> представителями </w:t>
      </w:r>
      <w:r>
        <w:t xml:space="preserve"> </w:t>
      </w:r>
      <w:r w:rsidRPr="00B802A8">
        <w:t xml:space="preserve"> предприятий</w:t>
      </w:r>
      <w:r>
        <w:t xml:space="preserve"> г. Кандалакши.</w:t>
      </w:r>
    </w:p>
    <w:p w:rsidR="00360E02" w:rsidRPr="00302886" w:rsidRDefault="00360E02" w:rsidP="00360E02">
      <w:pPr>
        <w:pStyle w:val="Default"/>
        <w:jc w:val="both"/>
      </w:pPr>
      <w:r>
        <w:t xml:space="preserve">      </w:t>
      </w:r>
      <w:r w:rsidRPr="00302886">
        <w:t xml:space="preserve">Студенты колледжа приняли участие в </w:t>
      </w:r>
      <w:r>
        <w:t>городской ярмарке вакансий, организованной Центром занятости</w:t>
      </w:r>
      <w:r w:rsidRPr="00302886">
        <w:t xml:space="preserve"> (ма</w:t>
      </w:r>
      <w:r>
        <w:t xml:space="preserve">й 2013). </w:t>
      </w:r>
      <w:r w:rsidRPr="00302886">
        <w:t xml:space="preserve">Проведен анализ удовлетворенности: работодателей - подготовкой студентов; родителей студентов - по результатам проведения </w:t>
      </w:r>
      <w:r w:rsidRPr="00302886">
        <w:lastRenderedPageBreak/>
        <w:t>производственного обучения. Удовлетворенность результатами производственного обучения</w:t>
      </w:r>
      <w:proofErr w:type="gramStart"/>
      <w:r w:rsidRPr="00302886">
        <w:t xml:space="preserve"> :</w:t>
      </w:r>
      <w:proofErr w:type="gramEnd"/>
      <w:r w:rsidRPr="00302886">
        <w:t xml:space="preserve"> средний балл </w:t>
      </w:r>
      <w:r w:rsidRPr="00B802A8">
        <w:t>(</w:t>
      </w:r>
      <w:proofErr w:type="spellStart"/>
      <w:r w:rsidRPr="00B802A8">
        <w:t>max</w:t>
      </w:r>
      <w:proofErr w:type="spellEnd"/>
      <w:r w:rsidRPr="00B802A8">
        <w:t xml:space="preserve"> – 10 баллов): </w:t>
      </w:r>
      <w:r>
        <w:t xml:space="preserve"> </w:t>
      </w:r>
      <w:r w:rsidRPr="00B802A8">
        <w:t>8,6.</w:t>
      </w:r>
      <w:r w:rsidRPr="00302886">
        <w:t xml:space="preserve"> </w:t>
      </w:r>
    </w:p>
    <w:p w:rsidR="00360E02" w:rsidRDefault="00360E02" w:rsidP="00360E02">
      <w:pPr>
        <w:pStyle w:val="Default"/>
        <w:jc w:val="both"/>
      </w:pPr>
      <w:r>
        <w:t xml:space="preserve">      </w:t>
      </w:r>
      <w:r w:rsidRPr="00302886">
        <w:t>Из выпуска 2012 г.</w:t>
      </w:r>
      <w:r>
        <w:t>, 2013 г. общая занятость выпускников составляет 93% (с учетом продолживших обучение,  приз</w:t>
      </w:r>
      <w:r w:rsidR="00480753">
        <w:t>ыва в ряды РА, отпуска по уходу</w:t>
      </w:r>
      <w:r>
        <w:t xml:space="preserve"> за ребенком).</w:t>
      </w:r>
      <w:r w:rsidRPr="00302886">
        <w:t xml:space="preserve"> </w:t>
      </w:r>
    </w:p>
    <w:p w:rsidR="00360E02" w:rsidRPr="00B94443" w:rsidRDefault="00360E02" w:rsidP="00360E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4443">
        <w:rPr>
          <w:rFonts w:ascii="Times New Roman" w:hAnsi="Times New Roman" w:cs="Times New Roman"/>
          <w:sz w:val="24"/>
          <w:szCs w:val="24"/>
        </w:rPr>
        <w:t>В  колледже создан</w:t>
      </w:r>
      <w:r>
        <w:rPr>
          <w:rFonts w:ascii="Times New Roman" w:hAnsi="Times New Roman" w:cs="Times New Roman"/>
          <w:sz w:val="24"/>
          <w:szCs w:val="24"/>
        </w:rPr>
        <w:t>а Служба содействия трудоустройству</w:t>
      </w:r>
      <w:r w:rsidRPr="00B9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  <w:r w:rsidRPr="00B94443">
        <w:rPr>
          <w:rFonts w:ascii="Times New Roman" w:hAnsi="Times New Roman" w:cs="Times New Roman"/>
          <w:sz w:val="24"/>
          <w:szCs w:val="24"/>
        </w:rPr>
        <w:t xml:space="preserve">, который помогает выпускникам в трудоустройстве и проводит мониторинг трудоустройства. Большинство выпускников трудоустраиваются в </w:t>
      </w:r>
      <w:r>
        <w:rPr>
          <w:rFonts w:ascii="Times New Roman" w:hAnsi="Times New Roman" w:cs="Times New Roman"/>
          <w:sz w:val="24"/>
          <w:szCs w:val="24"/>
        </w:rPr>
        <w:t>Мурманской</w:t>
      </w:r>
      <w:r w:rsidRPr="00B94443">
        <w:rPr>
          <w:rFonts w:ascii="Times New Roman" w:hAnsi="Times New Roman" w:cs="Times New Roman"/>
          <w:sz w:val="24"/>
          <w:szCs w:val="24"/>
        </w:rPr>
        <w:t xml:space="preserve"> области, часть уезжает за пределы области, часть продолжает обучение в учреждениях среднего и высшего профессионального образования. Существенно затрудняет трудоустройство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низкая оплата труда, </w:t>
      </w:r>
      <w:r w:rsidRPr="00B94443">
        <w:rPr>
          <w:rFonts w:ascii="Times New Roman" w:hAnsi="Times New Roman" w:cs="Times New Roman"/>
          <w:sz w:val="24"/>
          <w:szCs w:val="24"/>
        </w:rPr>
        <w:t>отсутст</w:t>
      </w:r>
      <w:r>
        <w:rPr>
          <w:rFonts w:ascii="Times New Roman" w:hAnsi="Times New Roman" w:cs="Times New Roman"/>
          <w:sz w:val="24"/>
          <w:szCs w:val="24"/>
        </w:rPr>
        <w:t>вие условий карьерного роста</w:t>
      </w:r>
      <w:r w:rsidRPr="00B94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E02" w:rsidRDefault="00360E02" w:rsidP="00360E02">
      <w:pPr>
        <w:pStyle w:val="a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886">
        <w:t xml:space="preserve">     </w:t>
      </w:r>
    </w:p>
    <w:p w:rsidR="00232998" w:rsidRDefault="00232998" w:rsidP="0023299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EF">
        <w:rPr>
          <w:rFonts w:ascii="Times New Roman" w:hAnsi="Times New Roman" w:cs="Times New Roman"/>
          <w:b/>
          <w:sz w:val="24"/>
          <w:szCs w:val="24"/>
        </w:rPr>
        <w:t xml:space="preserve">Специальности и профессии </w:t>
      </w:r>
      <w:r>
        <w:rPr>
          <w:rFonts w:ascii="Times New Roman" w:hAnsi="Times New Roman" w:cs="Times New Roman"/>
          <w:b/>
          <w:sz w:val="24"/>
          <w:szCs w:val="24"/>
        </w:rPr>
        <w:t>колледжа</w:t>
      </w:r>
    </w:p>
    <w:p w:rsidR="00232998" w:rsidRPr="001E6E5C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E6E5C">
        <w:rPr>
          <w:rFonts w:ascii="Times New Roman" w:hAnsi="Times New Roman" w:cs="Times New Roman"/>
          <w:sz w:val="24"/>
          <w:szCs w:val="24"/>
        </w:rPr>
        <w:t>Специальности и профессии, по которым в настоящее время осуществляется подготовка кадров: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0"/>
        <w:gridCol w:w="2619"/>
        <w:gridCol w:w="689"/>
        <w:gridCol w:w="375"/>
        <w:gridCol w:w="276"/>
        <w:gridCol w:w="38"/>
        <w:gridCol w:w="369"/>
        <w:gridCol w:w="551"/>
        <w:gridCol w:w="42"/>
        <w:gridCol w:w="140"/>
        <w:gridCol w:w="745"/>
        <w:gridCol w:w="2247"/>
      </w:tblGrid>
      <w:tr w:rsidR="00232998" w:rsidRPr="00FC66E3" w:rsidTr="00A91787">
        <w:tc>
          <w:tcPr>
            <w:tcW w:w="773" w:type="pct"/>
            <w:vMerge w:val="restar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8" w:type="pct"/>
            <w:vMerge w:val="restar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шифр  кв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1223" w:type="pct"/>
            <w:gridSpan w:val="7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462" w:type="pct"/>
            <w:gridSpan w:val="2"/>
            <w:vMerge w:val="restar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74" w:type="pct"/>
            <w:vMerge w:val="restart"/>
            <w:vAlign w:val="center"/>
          </w:tcPr>
          <w:p w:rsidR="00232998" w:rsidRPr="00FC66E3" w:rsidRDefault="00232998" w:rsidP="00A91787">
            <w:pPr>
              <w:pStyle w:val="a7"/>
              <w:ind w:right="1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32998" w:rsidRPr="00FC66E3" w:rsidTr="00A91787">
        <w:tc>
          <w:tcPr>
            <w:tcW w:w="773" w:type="pct"/>
            <w:vMerge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vMerge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503" w:type="pct"/>
            <w:gridSpan w:val="3"/>
          </w:tcPr>
          <w:p w:rsidR="00232998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курс/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4курс</w:t>
            </w:r>
          </w:p>
        </w:tc>
        <w:tc>
          <w:tcPr>
            <w:tcW w:w="462" w:type="pct"/>
            <w:gridSpan w:val="2"/>
            <w:vMerge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998" w:rsidRPr="00FC66E3" w:rsidTr="00A91787">
        <w:tc>
          <w:tcPr>
            <w:tcW w:w="5000" w:type="pct"/>
            <w:gridSpan w:val="12"/>
          </w:tcPr>
          <w:p w:rsidR="00232998" w:rsidRPr="00C310BF" w:rsidRDefault="00232998" w:rsidP="00A9178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 и служащих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034700.03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21299Делопроизводитель 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5 мес.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150709.02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(электросв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рочные и газосварочные работы)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19906 Электросварщик ручной сварки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11620Газосварщик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5 мес.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140446.03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Электромонтёр по р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 и обслуживанию электрооборудования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19861 Электромонтёр по ремонту и обслужив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нию электрооборудов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5 мес.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260807.01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16675Повар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12901Кондитер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5 мес.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190623.03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нию и ремонту подви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состава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18540 Слесарь по ремо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ту подвижного состава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16275 Осмотрщик-ремонтник вагонов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16269 Осмотрщик 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ваг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5 мес.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190623.01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Машиниста локомотива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18540 Слесарь по ремо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ту подвижного состава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16885Помощник маш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 электровоза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3 г. 5 мес.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190901.02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ус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 сигнализации, централизации, блок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ровки (СЦБ)  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19890Электромонтер по обслуживанию и ремо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ту устройств сигнализ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централизации, бл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кировки (СЦБ)  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5 мес.</w:t>
            </w:r>
          </w:p>
        </w:tc>
      </w:tr>
      <w:tr w:rsidR="00232998" w:rsidRPr="00FC66E3" w:rsidTr="00A91787">
        <w:tc>
          <w:tcPr>
            <w:tcW w:w="773" w:type="pc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190623.04</w:t>
            </w:r>
          </w:p>
        </w:tc>
        <w:tc>
          <w:tcPr>
            <w:tcW w:w="1368" w:type="pc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 по   ремонту электрообор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 подвижного с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gramStart"/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электровозов, электропоездов)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р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  электрооборуд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19861Электромонтер по ремонту и обслужив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нию электрооборудов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5 мес.</w:t>
            </w:r>
          </w:p>
        </w:tc>
      </w:tr>
      <w:tr w:rsidR="00232998" w:rsidRPr="00FC66E3" w:rsidTr="00A91787">
        <w:tc>
          <w:tcPr>
            <w:tcW w:w="773" w:type="pc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270839.01</w:t>
            </w:r>
          </w:p>
        </w:tc>
        <w:tc>
          <w:tcPr>
            <w:tcW w:w="1368" w:type="pc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санитарно-технических, вентиляц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систем и оборуд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19756 </w:t>
            </w:r>
            <w:proofErr w:type="spellStart"/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5 мес.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230103.02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5 мес.</w:t>
            </w:r>
          </w:p>
        </w:tc>
      </w:tr>
      <w:tr w:rsidR="00232998" w:rsidRPr="00FC66E3" w:rsidTr="00A91787">
        <w:tc>
          <w:tcPr>
            <w:tcW w:w="5000" w:type="pct"/>
            <w:gridSpan w:val="12"/>
          </w:tcPr>
          <w:p w:rsidR="00232998" w:rsidRPr="00C310BF" w:rsidRDefault="00232998" w:rsidP="00A9178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по специальностям СПО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150402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 цветных металлов (базовая подг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товка)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мес.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100701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 (по отра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лям) (базовая подгото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ка)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232998" w:rsidRPr="00FC66E3" w:rsidTr="00A91787">
        <w:tc>
          <w:tcPr>
            <w:tcW w:w="773" w:type="pc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130912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циального обеспечения 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(базовая подготовка)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232998" w:rsidRPr="00FC66E3" w:rsidTr="00A91787">
        <w:tc>
          <w:tcPr>
            <w:tcW w:w="773" w:type="pc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080114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учет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(базовая подготовка)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232998" w:rsidRPr="00FC66E3" w:rsidTr="00A91787">
        <w:tc>
          <w:tcPr>
            <w:tcW w:w="773" w:type="pc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050144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(углубленная  подгото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ка)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proofErr w:type="spellStart"/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мес.</w:t>
            </w:r>
          </w:p>
        </w:tc>
      </w:tr>
      <w:tr w:rsidR="00232998" w:rsidRPr="00FC66E3" w:rsidTr="00A91787">
        <w:tc>
          <w:tcPr>
            <w:tcW w:w="773" w:type="pct"/>
            <w:vAlign w:val="center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230113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 по компьюте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системам</w:t>
            </w:r>
          </w:p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360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232998" w:rsidRPr="00FC66E3" w:rsidTr="00A91787">
        <w:tc>
          <w:tcPr>
            <w:tcW w:w="5000" w:type="pct"/>
            <w:gridSpan w:val="12"/>
            <w:vAlign w:val="center"/>
          </w:tcPr>
          <w:p w:rsidR="00232998" w:rsidRPr="00C310BF" w:rsidRDefault="00232998" w:rsidP="00A91787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профессиональной подготовки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16472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556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16671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строительный, плотник</w:t>
            </w:r>
          </w:p>
        </w:tc>
        <w:tc>
          <w:tcPr>
            <w:tcW w:w="556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18511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томобилей</w:t>
            </w:r>
          </w:p>
        </w:tc>
        <w:tc>
          <w:tcPr>
            <w:tcW w:w="556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32998" w:rsidRPr="00FC66E3" w:rsidTr="00A91787">
        <w:tc>
          <w:tcPr>
            <w:tcW w:w="773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1368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556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32998" w:rsidRPr="00FC66E3" w:rsidTr="00A91787">
        <w:tc>
          <w:tcPr>
            <w:tcW w:w="2141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6" w:type="pct"/>
            <w:gridSpan w:val="2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57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83" w:type="pct"/>
            <w:gridSpan w:val="3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E3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9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232998" w:rsidRPr="00FC66E3" w:rsidRDefault="00232998" w:rsidP="00A917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998" w:rsidRPr="001E6E5C" w:rsidRDefault="00232998" w:rsidP="002329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E6E5C">
        <w:rPr>
          <w:rFonts w:ascii="Times New Roman" w:hAnsi="Times New Roman" w:cs="Times New Roman"/>
          <w:caps/>
          <w:sz w:val="24"/>
          <w:szCs w:val="24"/>
        </w:rPr>
        <w:t>П</w:t>
      </w:r>
      <w:r w:rsidRPr="001E6E5C">
        <w:rPr>
          <w:rFonts w:ascii="Times New Roman" w:hAnsi="Times New Roman" w:cs="Times New Roman"/>
          <w:sz w:val="24"/>
          <w:szCs w:val="24"/>
        </w:rPr>
        <w:t>еречень реализуемых образовательных программ  профессиональной подготовки и дополн</w:t>
      </w:r>
      <w:r w:rsidRPr="001E6E5C">
        <w:rPr>
          <w:rFonts w:ascii="Times New Roman" w:hAnsi="Times New Roman" w:cs="Times New Roman"/>
          <w:sz w:val="24"/>
          <w:szCs w:val="24"/>
        </w:rPr>
        <w:t>и</w:t>
      </w:r>
      <w:r w:rsidRPr="001E6E5C">
        <w:rPr>
          <w:rFonts w:ascii="Times New Roman" w:hAnsi="Times New Roman" w:cs="Times New Roman"/>
          <w:sz w:val="24"/>
          <w:szCs w:val="24"/>
        </w:rPr>
        <w:t xml:space="preserve">тельного образования по договорам с физическими и (или) юридическими лицами с оплатой ими стоимости обучения </w:t>
      </w:r>
    </w:p>
    <w:p w:rsidR="00232998" w:rsidRPr="005C6706" w:rsidRDefault="00232998" w:rsidP="0023299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23"/>
        <w:gridCol w:w="142"/>
        <w:gridCol w:w="2439"/>
        <w:gridCol w:w="2461"/>
        <w:gridCol w:w="1481"/>
        <w:gridCol w:w="2126"/>
      </w:tblGrid>
      <w:tr w:rsidR="00232998" w:rsidRPr="005C6706" w:rsidTr="00A91787">
        <w:tc>
          <w:tcPr>
            <w:tcW w:w="559" w:type="dxa"/>
            <w:vMerge w:val="restart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6" w:type="dxa"/>
            <w:gridSpan w:val="5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направления и специальности</w:t>
            </w:r>
          </w:p>
        </w:tc>
        <w:tc>
          <w:tcPr>
            <w:tcW w:w="2126" w:type="dxa"/>
            <w:vMerge w:val="restart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Квалификация, присваиваемая по завершении обр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232998" w:rsidRPr="005C6706" w:rsidTr="00A91787">
        <w:tc>
          <w:tcPr>
            <w:tcW w:w="559" w:type="dxa"/>
            <w:vMerge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81" w:type="dxa"/>
            <w:gridSpan w:val="2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1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81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ный срок освоения</w:t>
            </w:r>
          </w:p>
        </w:tc>
        <w:tc>
          <w:tcPr>
            <w:tcW w:w="2126" w:type="dxa"/>
            <w:vMerge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98" w:rsidRPr="005C6706" w:rsidTr="00A91787">
        <w:trPr>
          <w:trHeight w:hRule="exact" w:val="454"/>
        </w:trPr>
        <w:tc>
          <w:tcPr>
            <w:tcW w:w="10031" w:type="dxa"/>
            <w:gridSpan w:val="7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представленные к процедуре государственной аккредитации</w:t>
            </w:r>
          </w:p>
        </w:tc>
      </w:tr>
      <w:tr w:rsidR="00232998" w:rsidRPr="005C6706" w:rsidTr="00A91787">
        <w:trPr>
          <w:trHeight w:hRule="exact" w:val="1256"/>
        </w:trPr>
        <w:tc>
          <w:tcPr>
            <w:tcW w:w="559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5" w:type="dxa"/>
            <w:gridSpan w:val="2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</w:p>
        </w:tc>
        <w:tc>
          <w:tcPr>
            <w:tcW w:w="2439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46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8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2126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 xml:space="preserve">лей 2 разряда </w:t>
            </w:r>
          </w:p>
        </w:tc>
      </w:tr>
      <w:tr w:rsidR="00232998" w:rsidRPr="005C6706" w:rsidTr="00A91787">
        <w:trPr>
          <w:trHeight w:hRule="exact" w:val="1256"/>
        </w:trPr>
        <w:tc>
          <w:tcPr>
            <w:tcW w:w="559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" w:type="dxa"/>
            <w:gridSpan w:val="2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18897</w:t>
            </w:r>
          </w:p>
        </w:tc>
        <w:tc>
          <w:tcPr>
            <w:tcW w:w="2439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246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8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1  мес.</w:t>
            </w:r>
          </w:p>
        </w:tc>
        <w:tc>
          <w:tcPr>
            <w:tcW w:w="2126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Стропальщик 2 разряда</w:t>
            </w:r>
          </w:p>
        </w:tc>
      </w:tr>
      <w:tr w:rsidR="00232998" w:rsidRPr="005C6706" w:rsidTr="00A91787">
        <w:trPr>
          <w:trHeight w:hRule="exact" w:val="1256"/>
        </w:trPr>
        <w:tc>
          <w:tcPr>
            <w:tcW w:w="559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" w:type="dxa"/>
            <w:gridSpan w:val="2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11618</w:t>
            </w:r>
          </w:p>
        </w:tc>
        <w:tc>
          <w:tcPr>
            <w:tcW w:w="2439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 xml:space="preserve">Газорезчик </w:t>
            </w:r>
          </w:p>
        </w:tc>
        <w:tc>
          <w:tcPr>
            <w:tcW w:w="246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8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3  мес.</w:t>
            </w:r>
          </w:p>
        </w:tc>
        <w:tc>
          <w:tcPr>
            <w:tcW w:w="2126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Газорезчик 2 ра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</w:p>
        </w:tc>
      </w:tr>
      <w:tr w:rsidR="00232998" w:rsidRPr="005C6706" w:rsidTr="00A91787">
        <w:trPr>
          <w:trHeight w:hRule="exact" w:val="1256"/>
        </w:trPr>
        <w:tc>
          <w:tcPr>
            <w:tcW w:w="559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" w:type="dxa"/>
            <w:gridSpan w:val="2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2439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46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8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2126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Электрогазосва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5C6706">
              <w:rPr>
                <w:rFonts w:ascii="Times New Roman" w:hAnsi="Times New Roman" w:cs="Times New Roman"/>
                <w:sz w:val="24"/>
                <w:szCs w:val="24"/>
              </w:rPr>
              <w:t xml:space="preserve">  - 2 разряда</w:t>
            </w:r>
          </w:p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998" w:rsidRPr="005C6706" w:rsidTr="00A91787">
        <w:trPr>
          <w:trHeight w:hRule="exact" w:val="1256"/>
        </w:trPr>
        <w:tc>
          <w:tcPr>
            <w:tcW w:w="559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5" w:type="dxa"/>
            <w:gridSpan w:val="2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 xml:space="preserve"> 18726</w:t>
            </w:r>
          </w:p>
        </w:tc>
        <w:tc>
          <w:tcPr>
            <w:tcW w:w="2439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246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8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5C670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Составитель п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ездов 3 разряда</w:t>
            </w:r>
          </w:p>
        </w:tc>
      </w:tr>
      <w:tr w:rsidR="00232998" w:rsidRPr="005C6706" w:rsidTr="00A91787">
        <w:trPr>
          <w:trHeight w:hRule="exact" w:val="1421"/>
        </w:trPr>
        <w:tc>
          <w:tcPr>
            <w:tcW w:w="559" w:type="dxa"/>
            <w:vAlign w:val="center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5" w:type="dxa"/>
            <w:gridSpan w:val="2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439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Слесарь по   ремонту подвижного состава</w:t>
            </w:r>
          </w:p>
        </w:tc>
        <w:tc>
          <w:tcPr>
            <w:tcW w:w="246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Повышение квал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1481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 xml:space="preserve">72 час.       </w:t>
            </w:r>
          </w:p>
        </w:tc>
        <w:tc>
          <w:tcPr>
            <w:tcW w:w="2126" w:type="dxa"/>
          </w:tcPr>
          <w:p w:rsidR="00232998" w:rsidRPr="005C6706" w:rsidRDefault="00232998" w:rsidP="00A917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го состава 4  ра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706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</w:p>
        </w:tc>
      </w:tr>
    </w:tbl>
    <w:p w:rsidR="00EC2149" w:rsidRDefault="00EC2149"/>
    <w:sectPr w:rsidR="00EC2149" w:rsidSect="00EC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68" w:rsidRDefault="00466168" w:rsidP="00C0216C">
      <w:pPr>
        <w:spacing w:after="0" w:line="240" w:lineRule="auto"/>
      </w:pPr>
      <w:r>
        <w:separator/>
      </w:r>
    </w:p>
  </w:endnote>
  <w:endnote w:type="continuationSeparator" w:id="0">
    <w:p w:rsidR="00466168" w:rsidRDefault="00466168" w:rsidP="00C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57" w:rsidRDefault="0006474E" w:rsidP="00B90FD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0E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4057" w:rsidRDefault="004661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57" w:rsidRPr="000A3441" w:rsidRDefault="0006474E" w:rsidP="00B90FD2">
    <w:pPr>
      <w:pStyle w:val="a5"/>
      <w:framePr w:wrap="around" w:vAnchor="text" w:hAnchor="margin" w:xAlign="center" w:y="1"/>
      <w:rPr>
        <w:rStyle w:val="a9"/>
      </w:rPr>
    </w:pPr>
    <w:r w:rsidRPr="000A3441">
      <w:rPr>
        <w:rStyle w:val="a9"/>
      </w:rPr>
      <w:fldChar w:fldCharType="begin"/>
    </w:r>
    <w:r w:rsidR="00360E02" w:rsidRPr="000A3441">
      <w:rPr>
        <w:rStyle w:val="a9"/>
      </w:rPr>
      <w:instrText xml:space="preserve">PAGE  </w:instrText>
    </w:r>
    <w:r w:rsidRPr="000A3441">
      <w:rPr>
        <w:rStyle w:val="a9"/>
      </w:rPr>
      <w:fldChar w:fldCharType="separate"/>
    </w:r>
    <w:r w:rsidR="00232998">
      <w:rPr>
        <w:rStyle w:val="a9"/>
        <w:noProof/>
      </w:rPr>
      <w:t>6</w:t>
    </w:r>
    <w:r w:rsidRPr="000A3441">
      <w:rPr>
        <w:rStyle w:val="a9"/>
      </w:rPr>
      <w:fldChar w:fldCharType="end"/>
    </w:r>
  </w:p>
  <w:p w:rsidR="00CF4057" w:rsidRDefault="00360E02" w:rsidP="00B90FD2">
    <w:pPr>
      <w:pStyle w:val="a5"/>
      <w:tabs>
        <w:tab w:val="clear" w:pos="4677"/>
        <w:tab w:val="clear" w:pos="9355"/>
        <w:tab w:val="left" w:pos="1360"/>
      </w:tabs>
    </w:pPr>
    <w:r>
      <w:tab/>
    </w:r>
  </w:p>
  <w:p w:rsidR="00CF4057" w:rsidRDefault="00466168">
    <w:pPr>
      <w:pStyle w:val="a5"/>
    </w:pPr>
  </w:p>
  <w:p w:rsidR="00CF4057" w:rsidRDefault="004661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57" w:rsidRDefault="004661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68" w:rsidRDefault="00466168" w:rsidP="00C0216C">
      <w:pPr>
        <w:spacing w:after="0" w:line="240" w:lineRule="auto"/>
      </w:pPr>
      <w:r>
        <w:separator/>
      </w:r>
    </w:p>
  </w:footnote>
  <w:footnote w:type="continuationSeparator" w:id="0">
    <w:p w:rsidR="00466168" w:rsidRDefault="00466168" w:rsidP="00C0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57" w:rsidRDefault="004661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57" w:rsidRDefault="00466168">
    <w:pPr>
      <w:pStyle w:val="a3"/>
    </w:pPr>
  </w:p>
  <w:p w:rsidR="00CF4057" w:rsidRDefault="00466168">
    <w:pPr>
      <w:pStyle w:val="a3"/>
    </w:pPr>
  </w:p>
  <w:p w:rsidR="00CF4057" w:rsidRPr="00486E9A" w:rsidRDefault="00466168">
    <w:pPr>
      <w:pStyle w:val="a3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57" w:rsidRDefault="004661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E02"/>
    <w:rsid w:val="0006474E"/>
    <w:rsid w:val="00232998"/>
    <w:rsid w:val="00360E02"/>
    <w:rsid w:val="00466168"/>
    <w:rsid w:val="00480753"/>
    <w:rsid w:val="00966789"/>
    <w:rsid w:val="00C0216C"/>
    <w:rsid w:val="00EC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0E0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36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0E02"/>
    <w:rPr>
      <w:rFonts w:eastAsiaTheme="minorEastAsia"/>
      <w:lang w:eastAsia="ru-RU"/>
    </w:rPr>
  </w:style>
  <w:style w:type="paragraph" w:styleId="a7">
    <w:name w:val="No Spacing"/>
    <w:link w:val="a8"/>
    <w:qFormat/>
    <w:rsid w:val="00360E0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360E02"/>
    <w:rPr>
      <w:rFonts w:eastAsiaTheme="minorEastAsia"/>
      <w:lang w:eastAsia="ru-RU"/>
    </w:rPr>
  </w:style>
  <w:style w:type="character" w:styleId="a9">
    <w:name w:val="page number"/>
    <w:basedOn w:val="a0"/>
    <w:rsid w:val="00360E02"/>
  </w:style>
  <w:style w:type="paragraph" w:customStyle="1" w:styleId="Default">
    <w:name w:val="Default"/>
    <w:rsid w:val="00360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2499</Words>
  <Characters>14247</Characters>
  <Application>Microsoft Office Word</Application>
  <DocSecurity>0</DocSecurity>
  <Lines>118</Lines>
  <Paragraphs>33</Paragraphs>
  <ScaleCrop>false</ScaleCrop>
  <Company>PU-24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2014-01-14T05:16:00Z</dcterms:created>
  <dcterms:modified xsi:type="dcterms:W3CDTF">2014-01-17T06:59:00Z</dcterms:modified>
</cp:coreProperties>
</file>